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70"/>
        <w:gridCol w:w="3071"/>
        <w:gridCol w:w="3071"/>
      </w:tblGrid>
      <w:tr w:rsidR="00E03EF5" w:rsidRPr="00183459">
        <w:tc>
          <w:tcPr>
            <w:tcW w:w="3070" w:type="dxa"/>
            <w:shd w:val="clear" w:color="auto" w:fill="auto"/>
          </w:tcPr>
          <w:p w:rsidR="00E03EF5" w:rsidRPr="00183459" w:rsidRDefault="002A34AB" w:rsidP="00183459">
            <w:pPr>
              <w:pStyle w:val="Heading1"/>
              <w:spacing w:line="240" w:lineRule="auto"/>
              <w:jc w:val="center"/>
              <w:rPr>
                <w:sz w:val="36"/>
                <w:szCs w:val="36"/>
              </w:rPr>
            </w:pPr>
            <w:r>
              <w:rPr>
                <w:noProof/>
                <w:sz w:val="36"/>
                <w:szCs w:val="36"/>
                <w:lang w:eastAsia="nl-NL"/>
              </w:rPr>
              <w:drawing>
                <wp:inline distT="0" distB="0" distL="0" distR="0">
                  <wp:extent cx="1245235" cy="131318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cstate="print"/>
                          <a:srcRect/>
                          <a:stretch>
                            <a:fillRect/>
                          </a:stretch>
                        </pic:blipFill>
                        <pic:spPr bwMode="auto">
                          <a:xfrm>
                            <a:off x="0" y="0"/>
                            <a:ext cx="1245235" cy="1313180"/>
                          </a:xfrm>
                          <a:prstGeom prst="rect">
                            <a:avLst/>
                          </a:prstGeom>
                          <a:noFill/>
                          <a:ln w="9525">
                            <a:noFill/>
                            <a:miter lim="800000"/>
                            <a:headEnd/>
                            <a:tailEnd/>
                          </a:ln>
                        </pic:spPr>
                      </pic:pic>
                    </a:graphicData>
                  </a:graphic>
                </wp:inline>
              </w:drawing>
            </w:r>
          </w:p>
        </w:tc>
        <w:tc>
          <w:tcPr>
            <w:tcW w:w="3071" w:type="dxa"/>
            <w:shd w:val="clear" w:color="auto" w:fill="auto"/>
          </w:tcPr>
          <w:p w:rsidR="00E03EF5" w:rsidRPr="00183459" w:rsidRDefault="005D0085" w:rsidP="00183459">
            <w:pPr>
              <w:pStyle w:val="Heading1"/>
              <w:spacing w:line="240" w:lineRule="auto"/>
              <w:jc w:val="center"/>
              <w:rPr>
                <w:sz w:val="36"/>
                <w:szCs w:val="36"/>
              </w:rPr>
            </w:pPr>
            <w:r>
              <w:rPr>
                <w:sz w:val="36"/>
                <w:szCs w:val="36"/>
              </w:rPr>
              <w:t xml:space="preserve">Stokkersbokaal </w:t>
            </w:r>
            <w:r w:rsidR="00630BF0">
              <w:rPr>
                <w:sz w:val="36"/>
                <w:szCs w:val="36"/>
              </w:rPr>
              <w:br/>
              <w:t xml:space="preserve">driebanden </w:t>
            </w:r>
            <w:r w:rsidR="00552DE0">
              <w:rPr>
                <w:sz w:val="36"/>
                <w:szCs w:val="36"/>
              </w:rPr>
              <w:t>groot</w:t>
            </w:r>
            <w:r w:rsidR="00630BF0">
              <w:rPr>
                <w:sz w:val="36"/>
                <w:szCs w:val="36"/>
              </w:rPr>
              <w:t xml:space="preserve"> </w:t>
            </w:r>
            <w:r>
              <w:rPr>
                <w:sz w:val="36"/>
                <w:szCs w:val="36"/>
              </w:rPr>
              <w:t>editie 201</w:t>
            </w:r>
            <w:r w:rsidR="00D33D22">
              <w:rPr>
                <w:sz w:val="36"/>
                <w:szCs w:val="36"/>
              </w:rPr>
              <w:t>9</w:t>
            </w:r>
            <w:r w:rsidR="00E03EF5" w:rsidRPr="00183459">
              <w:rPr>
                <w:sz w:val="36"/>
                <w:szCs w:val="36"/>
              </w:rPr>
              <w:t>.</w:t>
            </w:r>
          </w:p>
          <w:p w:rsidR="00E03EF5" w:rsidRPr="00183459" w:rsidRDefault="00E03EF5" w:rsidP="00183459">
            <w:pPr>
              <w:pStyle w:val="Heading1"/>
              <w:spacing w:line="240" w:lineRule="auto"/>
              <w:jc w:val="center"/>
              <w:rPr>
                <w:sz w:val="36"/>
                <w:szCs w:val="36"/>
              </w:rPr>
            </w:pPr>
          </w:p>
        </w:tc>
        <w:tc>
          <w:tcPr>
            <w:tcW w:w="3071" w:type="dxa"/>
            <w:shd w:val="clear" w:color="auto" w:fill="auto"/>
          </w:tcPr>
          <w:p w:rsidR="00E03EF5" w:rsidRPr="00183459" w:rsidRDefault="002A34AB" w:rsidP="00183459">
            <w:pPr>
              <w:pStyle w:val="Heading1"/>
              <w:spacing w:line="240" w:lineRule="auto"/>
              <w:jc w:val="center"/>
              <w:rPr>
                <w:sz w:val="36"/>
                <w:szCs w:val="36"/>
              </w:rPr>
            </w:pPr>
            <w:r>
              <w:rPr>
                <w:noProof/>
                <w:sz w:val="36"/>
                <w:szCs w:val="36"/>
                <w:lang w:eastAsia="nl-NL"/>
              </w:rPr>
              <w:drawing>
                <wp:inline distT="0" distB="0" distL="0" distR="0">
                  <wp:extent cx="1245235" cy="131318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4" cstate="print"/>
                          <a:srcRect/>
                          <a:stretch>
                            <a:fillRect/>
                          </a:stretch>
                        </pic:blipFill>
                        <pic:spPr bwMode="auto">
                          <a:xfrm>
                            <a:off x="0" y="0"/>
                            <a:ext cx="1245235" cy="1313180"/>
                          </a:xfrm>
                          <a:prstGeom prst="rect">
                            <a:avLst/>
                          </a:prstGeom>
                          <a:noFill/>
                          <a:ln w="9525">
                            <a:noFill/>
                            <a:miter lim="800000"/>
                            <a:headEnd/>
                            <a:tailEnd/>
                          </a:ln>
                        </pic:spPr>
                      </pic:pic>
                    </a:graphicData>
                  </a:graphic>
                </wp:inline>
              </w:drawing>
            </w:r>
          </w:p>
        </w:tc>
      </w:tr>
    </w:tbl>
    <w:p w:rsidR="000042D4" w:rsidRPr="000042D4" w:rsidRDefault="000042D4" w:rsidP="000042D4">
      <w:pPr>
        <w:pStyle w:val="Heading2"/>
        <w:rPr>
          <w:sz w:val="28"/>
          <w:szCs w:val="28"/>
        </w:rPr>
      </w:pPr>
      <w:r w:rsidRPr="000042D4">
        <w:rPr>
          <w:sz w:val="28"/>
          <w:szCs w:val="28"/>
        </w:rPr>
        <w:t>Inleiding</w:t>
      </w:r>
    </w:p>
    <w:p w:rsidR="0005391B" w:rsidRDefault="003F75FE">
      <w:r>
        <w:br/>
      </w:r>
      <w:r w:rsidR="000042D4">
        <w:t xml:space="preserve">Sinds het toernooi om de Stokkersbokaal in 1997 weer nieuw is in geblazen, heeft het traditioneel altijd op de grote matchtafel plaatsgevonden, om met de tijd mee te gaan en aan mensen die het spel op de grote tafel te moeilijk vinden, ook een kans te geven is </w:t>
      </w:r>
      <w:r w:rsidR="00EE6897">
        <w:t>er sinds 2015</w:t>
      </w:r>
      <w:r w:rsidR="00BE47D4">
        <w:t xml:space="preserve"> </w:t>
      </w:r>
      <w:r w:rsidR="000042D4">
        <w:t>ook de Stokkersbokaal op de kleine tafel georganiseerd.</w:t>
      </w:r>
      <w:r w:rsidR="00552DE0">
        <w:t xml:space="preserve"> Deze finale is vrijdag gespeeld en gewonnen door Hans Vriendts.</w:t>
      </w:r>
      <w:r>
        <w:br/>
        <w:t xml:space="preserve">Dit jaar hadden zich de volgende spelers zich </w:t>
      </w:r>
      <w:r w:rsidR="00552DE0">
        <w:t xml:space="preserve">voor de finale op de grote tafel </w:t>
      </w:r>
      <w:r>
        <w:t xml:space="preserve">gekwalificeerd, </w:t>
      </w:r>
      <w:r w:rsidR="00AD6212">
        <w:t>Ton Bakker</w:t>
      </w:r>
      <w:r w:rsidR="00D63C56">
        <w:t>, vereniging De Bierhandel uit Mariënberg</w:t>
      </w:r>
      <w:r w:rsidR="00552DE0">
        <w:t xml:space="preserve"> te maken 17</w:t>
      </w:r>
      <w:r w:rsidR="00026DDF">
        <w:t xml:space="preserve"> caramboles</w:t>
      </w:r>
      <w:r w:rsidR="00552DE0">
        <w:t>, Jurrien Haak, vereniging BC Stokkers uit Enschede te maken 17 caramboles, Nico Haster, vereniging De Haven uit Hengelo te maken 25 caramboles en Reinhard Vossm vereniging BG Bottrop uit Bottrop Duitsland te maken 35 caramboles, kortom een bezetting die garant staat voor spannende en leuke partijen.</w:t>
      </w:r>
    </w:p>
    <w:p w:rsidR="006C7488" w:rsidRPr="006C7488" w:rsidRDefault="006C7488">
      <w:pPr>
        <w:rPr>
          <w:b/>
          <w:sz w:val="28"/>
          <w:szCs w:val="28"/>
        </w:rPr>
      </w:pPr>
      <w:r w:rsidRPr="006C7488">
        <w:rPr>
          <w:b/>
          <w:sz w:val="28"/>
          <w:szCs w:val="28"/>
        </w:rPr>
        <w:t xml:space="preserve">En de winnaar van de Stokkersbokaal </w:t>
      </w:r>
      <w:r w:rsidR="00EE6897">
        <w:rPr>
          <w:b/>
          <w:sz w:val="28"/>
          <w:szCs w:val="28"/>
        </w:rPr>
        <w:t>201</w:t>
      </w:r>
      <w:r w:rsidR="00AD6212">
        <w:rPr>
          <w:b/>
          <w:sz w:val="28"/>
          <w:szCs w:val="28"/>
        </w:rPr>
        <w:t>9</w:t>
      </w:r>
      <w:r w:rsidR="00EE6897">
        <w:rPr>
          <w:b/>
          <w:sz w:val="28"/>
          <w:szCs w:val="28"/>
        </w:rPr>
        <w:t xml:space="preserve"> </w:t>
      </w:r>
      <w:r w:rsidRPr="006C7488">
        <w:rPr>
          <w:b/>
          <w:sz w:val="28"/>
          <w:szCs w:val="28"/>
        </w:rPr>
        <w:t xml:space="preserve">driebanden </w:t>
      </w:r>
      <w:r w:rsidR="00552DE0">
        <w:rPr>
          <w:b/>
          <w:sz w:val="28"/>
          <w:szCs w:val="28"/>
        </w:rPr>
        <w:t>groot</w:t>
      </w:r>
      <w:r w:rsidRPr="006C7488">
        <w:rPr>
          <w:b/>
          <w:sz w:val="28"/>
          <w:szCs w:val="28"/>
        </w:rPr>
        <w:t xml:space="preserve"> is:</w:t>
      </w:r>
    </w:p>
    <w:p w:rsidR="006C7488" w:rsidRPr="00667046" w:rsidRDefault="00707540">
      <w:pPr>
        <w:rPr>
          <w:b/>
          <w:sz w:val="48"/>
          <w:szCs w:val="48"/>
        </w:rPr>
      </w:pPr>
      <w:r>
        <w:rPr>
          <w:b/>
          <w:sz w:val="48"/>
          <w:szCs w:val="48"/>
        </w:rPr>
        <w:t>Reinhard Voss</w:t>
      </w:r>
      <w:r w:rsidR="00045A4E">
        <w:rPr>
          <w:b/>
          <w:sz w:val="48"/>
          <w:szCs w:val="48"/>
        </w:rPr>
        <w:t xml:space="preserve"> </w:t>
      </w:r>
      <w:r w:rsidR="00667046" w:rsidRPr="00667046">
        <w:rPr>
          <w:b/>
          <w:sz w:val="48"/>
          <w:szCs w:val="48"/>
        </w:rPr>
        <w:t>uit</w:t>
      </w:r>
      <w:r>
        <w:rPr>
          <w:b/>
          <w:sz w:val="48"/>
          <w:szCs w:val="48"/>
        </w:rPr>
        <w:t xml:space="preserve"> Duitsland</w:t>
      </w:r>
      <w:r w:rsidR="00667046" w:rsidRPr="00667046">
        <w:rPr>
          <w:b/>
          <w:sz w:val="48"/>
          <w:szCs w:val="48"/>
        </w:rPr>
        <w:t>.</w:t>
      </w:r>
    </w:p>
    <w:p w:rsidR="006C7488" w:rsidRDefault="006C7488" w:rsidP="006C7488">
      <w:pPr>
        <w:pStyle w:val="Heading1"/>
        <w:rPr>
          <w:sz w:val="32"/>
          <w:szCs w:val="32"/>
        </w:rPr>
      </w:pPr>
      <w:r w:rsidRPr="006C7488">
        <w:rPr>
          <w:sz w:val="32"/>
          <w:szCs w:val="32"/>
        </w:rPr>
        <w:t>Eindstand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635"/>
        <w:gridCol w:w="720"/>
        <w:gridCol w:w="656"/>
        <w:gridCol w:w="1149"/>
        <w:gridCol w:w="1156"/>
        <w:gridCol w:w="1153"/>
        <w:gridCol w:w="1284"/>
      </w:tblGrid>
      <w:tr w:rsidR="00667046" w:rsidRPr="00183459">
        <w:tc>
          <w:tcPr>
            <w:tcW w:w="533" w:type="dxa"/>
            <w:shd w:val="clear" w:color="auto" w:fill="auto"/>
          </w:tcPr>
          <w:p w:rsidR="00BE47D4" w:rsidRPr="00183459" w:rsidRDefault="00BE47D4" w:rsidP="00183459">
            <w:pPr>
              <w:spacing w:after="0" w:line="240" w:lineRule="auto"/>
              <w:rPr>
                <w:b/>
              </w:rPr>
            </w:pPr>
            <w:r w:rsidRPr="00183459">
              <w:rPr>
                <w:b/>
              </w:rPr>
              <w:t>Nr.</w:t>
            </w:r>
          </w:p>
        </w:tc>
        <w:tc>
          <w:tcPr>
            <w:tcW w:w="2635" w:type="dxa"/>
            <w:shd w:val="clear" w:color="auto" w:fill="auto"/>
          </w:tcPr>
          <w:p w:rsidR="00BE47D4" w:rsidRPr="00183459" w:rsidRDefault="00BE47D4" w:rsidP="00667046">
            <w:pPr>
              <w:spacing w:after="0" w:line="240" w:lineRule="auto"/>
              <w:rPr>
                <w:b/>
                <w:sz w:val="20"/>
                <w:szCs w:val="20"/>
              </w:rPr>
            </w:pPr>
            <w:r w:rsidRPr="00183459">
              <w:rPr>
                <w:b/>
                <w:sz w:val="20"/>
                <w:szCs w:val="20"/>
              </w:rPr>
              <w:t>Naam speler</w:t>
            </w:r>
          </w:p>
        </w:tc>
        <w:tc>
          <w:tcPr>
            <w:tcW w:w="720" w:type="dxa"/>
            <w:shd w:val="clear" w:color="auto" w:fill="auto"/>
          </w:tcPr>
          <w:p w:rsidR="00BE47D4" w:rsidRPr="00183459" w:rsidRDefault="00667046" w:rsidP="00183459">
            <w:pPr>
              <w:spacing w:after="0" w:line="240" w:lineRule="auto"/>
              <w:jc w:val="center"/>
              <w:rPr>
                <w:b/>
                <w:sz w:val="20"/>
                <w:szCs w:val="20"/>
              </w:rPr>
            </w:pPr>
            <w:r>
              <w:rPr>
                <w:b/>
                <w:sz w:val="20"/>
                <w:szCs w:val="20"/>
              </w:rPr>
              <w:t>TM</w:t>
            </w:r>
          </w:p>
        </w:tc>
        <w:tc>
          <w:tcPr>
            <w:tcW w:w="656" w:type="dxa"/>
            <w:shd w:val="clear" w:color="auto" w:fill="auto"/>
          </w:tcPr>
          <w:p w:rsidR="00BE47D4" w:rsidRPr="00183459" w:rsidRDefault="00667046" w:rsidP="00183459">
            <w:pPr>
              <w:spacing w:after="0" w:line="240" w:lineRule="auto"/>
              <w:jc w:val="center"/>
              <w:rPr>
                <w:b/>
                <w:sz w:val="20"/>
                <w:szCs w:val="20"/>
              </w:rPr>
            </w:pPr>
            <w:r>
              <w:rPr>
                <w:b/>
                <w:sz w:val="20"/>
                <w:szCs w:val="20"/>
              </w:rPr>
              <w:t>GM</w:t>
            </w:r>
          </w:p>
        </w:tc>
        <w:tc>
          <w:tcPr>
            <w:tcW w:w="1149"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Aantal beurten</w:t>
            </w:r>
          </w:p>
        </w:tc>
        <w:tc>
          <w:tcPr>
            <w:tcW w:w="1156"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Moyenne</w:t>
            </w:r>
          </w:p>
        </w:tc>
        <w:tc>
          <w:tcPr>
            <w:tcW w:w="1153"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Hoogste serie</w:t>
            </w:r>
          </w:p>
        </w:tc>
        <w:tc>
          <w:tcPr>
            <w:tcW w:w="1284" w:type="dxa"/>
            <w:shd w:val="clear" w:color="auto" w:fill="auto"/>
          </w:tcPr>
          <w:p w:rsidR="00BE47D4" w:rsidRPr="00183459" w:rsidRDefault="00BE47D4" w:rsidP="00183459">
            <w:pPr>
              <w:spacing w:after="0" w:line="240" w:lineRule="auto"/>
              <w:jc w:val="center"/>
              <w:rPr>
                <w:b/>
                <w:sz w:val="20"/>
                <w:szCs w:val="20"/>
              </w:rPr>
            </w:pPr>
            <w:r w:rsidRPr="00183459">
              <w:rPr>
                <w:b/>
                <w:sz w:val="20"/>
                <w:szCs w:val="20"/>
              </w:rPr>
              <w:t>Scorings</w:t>
            </w:r>
            <w:r w:rsidRPr="00183459">
              <w:rPr>
                <w:b/>
                <w:sz w:val="20"/>
                <w:szCs w:val="20"/>
              </w:rPr>
              <w:br/>
              <w:t>percentage</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1.</w:t>
            </w:r>
          </w:p>
        </w:tc>
        <w:tc>
          <w:tcPr>
            <w:tcW w:w="2635" w:type="dxa"/>
            <w:shd w:val="clear" w:color="auto" w:fill="auto"/>
          </w:tcPr>
          <w:p w:rsidR="00BE47D4" w:rsidRPr="00667046" w:rsidRDefault="004128EF" w:rsidP="00183459">
            <w:pPr>
              <w:spacing w:after="0" w:line="240" w:lineRule="auto"/>
              <w:rPr>
                <w:b/>
                <w:sz w:val="20"/>
                <w:szCs w:val="20"/>
              </w:rPr>
            </w:pPr>
            <w:r>
              <w:rPr>
                <w:b/>
                <w:sz w:val="20"/>
                <w:szCs w:val="20"/>
              </w:rPr>
              <w:t>Reinhard Voss</w:t>
            </w:r>
          </w:p>
        </w:tc>
        <w:tc>
          <w:tcPr>
            <w:tcW w:w="720" w:type="dxa"/>
            <w:shd w:val="clear" w:color="auto" w:fill="auto"/>
          </w:tcPr>
          <w:p w:rsidR="00BE47D4" w:rsidRPr="00667046" w:rsidRDefault="004128EF" w:rsidP="00667046">
            <w:pPr>
              <w:spacing w:after="0" w:line="240" w:lineRule="auto"/>
              <w:jc w:val="center"/>
              <w:rPr>
                <w:b/>
                <w:sz w:val="20"/>
                <w:szCs w:val="20"/>
              </w:rPr>
            </w:pPr>
            <w:r>
              <w:rPr>
                <w:b/>
                <w:sz w:val="20"/>
                <w:szCs w:val="20"/>
              </w:rPr>
              <w:t>105</w:t>
            </w:r>
          </w:p>
        </w:tc>
        <w:tc>
          <w:tcPr>
            <w:tcW w:w="656" w:type="dxa"/>
            <w:shd w:val="clear" w:color="auto" w:fill="auto"/>
          </w:tcPr>
          <w:p w:rsidR="00BE47D4" w:rsidRPr="00667046" w:rsidRDefault="00707540" w:rsidP="00667046">
            <w:pPr>
              <w:spacing w:after="0" w:line="240" w:lineRule="auto"/>
              <w:jc w:val="center"/>
              <w:rPr>
                <w:b/>
                <w:sz w:val="20"/>
                <w:szCs w:val="20"/>
              </w:rPr>
            </w:pPr>
            <w:r>
              <w:rPr>
                <w:b/>
                <w:sz w:val="20"/>
                <w:szCs w:val="20"/>
              </w:rPr>
              <w:t>105</w:t>
            </w:r>
          </w:p>
        </w:tc>
        <w:tc>
          <w:tcPr>
            <w:tcW w:w="1149" w:type="dxa"/>
            <w:shd w:val="clear" w:color="auto" w:fill="auto"/>
          </w:tcPr>
          <w:p w:rsidR="00BE47D4" w:rsidRPr="00667046" w:rsidRDefault="00707540" w:rsidP="00667046">
            <w:pPr>
              <w:spacing w:after="0" w:line="240" w:lineRule="auto"/>
              <w:jc w:val="center"/>
              <w:rPr>
                <w:b/>
                <w:sz w:val="20"/>
                <w:szCs w:val="20"/>
              </w:rPr>
            </w:pPr>
            <w:r>
              <w:rPr>
                <w:b/>
                <w:sz w:val="20"/>
                <w:szCs w:val="20"/>
              </w:rPr>
              <w:t>120</w:t>
            </w:r>
          </w:p>
        </w:tc>
        <w:tc>
          <w:tcPr>
            <w:tcW w:w="1156" w:type="dxa"/>
            <w:shd w:val="clear" w:color="auto" w:fill="auto"/>
          </w:tcPr>
          <w:p w:rsidR="00BE47D4" w:rsidRPr="00667046" w:rsidRDefault="00707540" w:rsidP="00667046">
            <w:pPr>
              <w:spacing w:after="0" w:line="240" w:lineRule="auto"/>
              <w:jc w:val="center"/>
              <w:rPr>
                <w:b/>
                <w:sz w:val="20"/>
                <w:szCs w:val="20"/>
              </w:rPr>
            </w:pPr>
            <w:r>
              <w:rPr>
                <w:b/>
                <w:sz w:val="20"/>
                <w:szCs w:val="20"/>
              </w:rPr>
              <w:t>0.875</w:t>
            </w:r>
          </w:p>
        </w:tc>
        <w:tc>
          <w:tcPr>
            <w:tcW w:w="1153" w:type="dxa"/>
            <w:shd w:val="clear" w:color="auto" w:fill="auto"/>
          </w:tcPr>
          <w:p w:rsidR="00BE47D4" w:rsidRPr="00667046" w:rsidRDefault="00707540" w:rsidP="00667046">
            <w:pPr>
              <w:spacing w:after="0" w:line="240" w:lineRule="auto"/>
              <w:jc w:val="center"/>
              <w:rPr>
                <w:b/>
                <w:sz w:val="20"/>
                <w:szCs w:val="20"/>
              </w:rPr>
            </w:pPr>
            <w:r>
              <w:rPr>
                <w:b/>
                <w:sz w:val="20"/>
                <w:szCs w:val="20"/>
              </w:rPr>
              <w:t>7</w:t>
            </w:r>
          </w:p>
        </w:tc>
        <w:tc>
          <w:tcPr>
            <w:tcW w:w="1284" w:type="dxa"/>
            <w:shd w:val="clear" w:color="auto" w:fill="auto"/>
          </w:tcPr>
          <w:p w:rsidR="00BE47D4" w:rsidRPr="00667046" w:rsidRDefault="00707540" w:rsidP="00667046">
            <w:pPr>
              <w:spacing w:after="0" w:line="240" w:lineRule="auto"/>
              <w:jc w:val="center"/>
              <w:rPr>
                <w:b/>
                <w:sz w:val="20"/>
                <w:szCs w:val="20"/>
              </w:rPr>
            </w:pPr>
            <w:r>
              <w:rPr>
                <w:b/>
                <w:sz w:val="20"/>
                <w:szCs w:val="20"/>
              </w:rPr>
              <w:t>100%</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2.</w:t>
            </w:r>
          </w:p>
        </w:tc>
        <w:tc>
          <w:tcPr>
            <w:tcW w:w="2635" w:type="dxa"/>
            <w:shd w:val="clear" w:color="auto" w:fill="auto"/>
          </w:tcPr>
          <w:p w:rsidR="00BE47D4" w:rsidRPr="00667046" w:rsidRDefault="004128EF" w:rsidP="00183459">
            <w:pPr>
              <w:spacing w:after="0" w:line="240" w:lineRule="auto"/>
              <w:rPr>
                <w:b/>
                <w:sz w:val="20"/>
                <w:szCs w:val="20"/>
              </w:rPr>
            </w:pPr>
            <w:r>
              <w:rPr>
                <w:b/>
                <w:sz w:val="20"/>
                <w:szCs w:val="20"/>
              </w:rPr>
              <w:t>Nico Haster</w:t>
            </w:r>
          </w:p>
        </w:tc>
        <w:tc>
          <w:tcPr>
            <w:tcW w:w="720" w:type="dxa"/>
            <w:shd w:val="clear" w:color="auto" w:fill="auto"/>
          </w:tcPr>
          <w:p w:rsidR="00BE47D4" w:rsidRPr="00667046" w:rsidRDefault="004128EF" w:rsidP="00667046">
            <w:pPr>
              <w:spacing w:after="0" w:line="240" w:lineRule="auto"/>
              <w:jc w:val="center"/>
              <w:rPr>
                <w:b/>
                <w:sz w:val="20"/>
                <w:szCs w:val="20"/>
              </w:rPr>
            </w:pPr>
            <w:r>
              <w:rPr>
                <w:b/>
                <w:sz w:val="20"/>
                <w:szCs w:val="20"/>
              </w:rPr>
              <w:t>75</w:t>
            </w:r>
          </w:p>
        </w:tc>
        <w:tc>
          <w:tcPr>
            <w:tcW w:w="656" w:type="dxa"/>
            <w:shd w:val="clear" w:color="auto" w:fill="auto"/>
          </w:tcPr>
          <w:p w:rsidR="00BE47D4" w:rsidRPr="00667046" w:rsidRDefault="00707540" w:rsidP="00667046">
            <w:pPr>
              <w:spacing w:after="0" w:line="240" w:lineRule="auto"/>
              <w:jc w:val="center"/>
              <w:rPr>
                <w:b/>
                <w:sz w:val="20"/>
                <w:szCs w:val="20"/>
              </w:rPr>
            </w:pPr>
            <w:r>
              <w:rPr>
                <w:b/>
                <w:sz w:val="20"/>
                <w:szCs w:val="20"/>
              </w:rPr>
              <w:t>64</w:t>
            </w:r>
          </w:p>
        </w:tc>
        <w:tc>
          <w:tcPr>
            <w:tcW w:w="1149" w:type="dxa"/>
            <w:shd w:val="clear" w:color="auto" w:fill="auto"/>
          </w:tcPr>
          <w:p w:rsidR="00BE47D4" w:rsidRPr="00667046" w:rsidRDefault="00707540" w:rsidP="00667046">
            <w:pPr>
              <w:spacing w:after="0" w:line="240" w:lineRule="auto"/>
              <w:jc w:val="center"/>
              <w:rPr>
                <w:b/>
                <w:sz w:val="20"/>
                <w:szCs w:val="20"/>
              </w:rPr>
            </w:pPr>
            <w:r>
              <w:rPr>
                <w:b/>
                <w:sz w:val="20"/>
                <w:szCs w:val="20"/>
              </w:rPr>
              <w:t>135</w:t>
            </w:r>
          </w:p>
        </w:tc>
        <w:tc>
          <w:tcPr>
            <w:tcW w:w="1156" w:type="dxa"/>
            <w:shd w:val="clear" w:color="auto" w:fill="auto"/>
          </w:tcPr>
          <w:p w:rsidR="00BE47D4" w:rsidRPr="00667046" w:rsidRDefault="00707540" w:rsidP="00667046">
            <w:pPr>
              <w:spacing w:after="0" w:line="240" w:lineRule="auto"/>
              <w:jc w:val="center"/>
              <w:rPr>
                <w:b/>
                <w:sz w:val="20"/>
                <w:szCs w:val="20"/>
              </w:rPr>
            </w:pPr>
            <w:r>
              <w:rPr>
                <w:b/>
                <w:sz w:val="20"/>
                <w:szCs w:val="20"/>
              </w:rPr>
              <w:t>0.474</w:t>
            </w:r>
          </w:p>
        </w:tc>
        <w:tc>
          <w:tcPr>
            <w:tcW w:w="1153" w:type="dxa"/>
            <w:shd w:val="clear" w:color="auto" w:fill="auto"/>
          </w:tcPr>
          <w:p w:rsidR="00BE47D4" w:rsidRPr="00667046" w:rsidRDefault="00707540" w:rsidP="00667046">
            <w:pPr>
              <w:spacing w:after="0" w:line="240" w:lineRule="auto"/>
              <w:jc w:val="center"/>
              <w:rPr>
                <w:b/>
                <w:sz w:val="20"/>
                <w:szCs w:val="20"/>
              </w:rPr>
            </w:pPr>
            <w:r>
              <w:rPr>
                <w:b/>
                <w:sz w:val="20"/>
                <w:szCs w:val="20"/>
              </w:rPr>
              <w:t>4</w:t>
            </w:r>
          </w:p>
        </w:tc>
        <w:tc>
          <w:tcPr>
            <w:tcW w:w="1284" w:type="dxa"/>
            <w:shd w:val="clear" w:color="auto" w:fill="auto"/>
          </w:tcPr>
          <w:p w:rsidR="00BE47D4" w:rsidRPr="00667046" w:rsidRDefault="00707540" w:rsidP="00667046">
            <w:pPr>
              <w:spacing w:after="0" w:line="240" w:lineRule="auto"/>
              <w:jc w:val="center"/>
              <w:rPr>
                <w:b/>
                <w:sz w:val="20"/>
                <w:szCs w:val="20"/>
              </w:rPr>
            </w:pPr>
            <w:r>
              <w:rPr>
                <w:b/>
                <w:sz w:val="20"/>
                <w:szCs w:val="20"/>
              </w:rPr>
              <w:t>85.33%</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3.</w:t>
            </w:r>
          </w:p>
        </w:tc>
        <w:tc>
          <w:tcPr>
            <w:tcW w:w="2635" w:type="dxa"/>
            <w:shd w:val="clear" w:color="auto" w:fill="auto"/>
          </w:tcPr>
          <w:p w:rsidR="00BE47D4" w:rsidRPr="00667046" w:rsidRDefault="004128EF" w:rsidP="00183459">
            <w:pPr>
              <w:spacing w:after="0" w:line="240" w:lineRule="auto"/>
              <w:rPr>
                <w:b/>
                <w:sz w:val="20"/>
                <w:szCs w:val="20"/>
              </w:rPr>
            </w:pPr>
            <w:r>
              <w:rPr>
                <w:b/>
                <w:sz w:val="20"/>
                <w:szCs w:val="20"/>
              </w:rPr>
              <w:t>Jurrien Haak</w:t>
            </w:r>
          </w:p>
        </w:tc>
        <w:tc>
          <w:tcPr>
            <w:tcW w:w="720" w:type="dxa"/>
            <w:shd w:val="clear" w:color="auto" w:fill="auto"/>
          </w:tcPr>
          <w:p w:rsidR="00BE47D4" w:rsidRPr="00667046" w:rsidRDefault="004128EF" w:rsidP="00667046">
            <w:pPr>
              <w:spacing w:after="0" w:line="240" w:lineRule="auto"/>
              <w:jc w:val="center"/>
              <w:rPr>
                <w:b/>
                <w:sz w:val="20"/>
                <w:szCs w:val="20"/>
              </w:rPr>
            </w:pPr>
            <w:r>
              <w:rPr>
                <w:b/>
                <w:sz w:val="20"/>
                <w:szCs w:val="20"/>
              </w:rPr>
              <w:t>51</w:t>
            </w:r>
          </w:p>
        </w:tc>
        <w:tc>
          <w:tcPr>
            <w:tcW w:w="656" w:type="dxa"/>
            <w:shd w:val="clear" w:color="auto" w:fill="auto"/>
          </w:tcPr>
          <w:p w:rsidR="00BE47D4" w:rsidRPr="00667046" w:rsidRDefault="00707540" w:rsidP="00667046">
            <w:pPr>
              <w:spacing w:after="0" w:line="240" w:lineRule="auto"/>
              <w:jc w:val="center"/>
              <w:rPr>
                <w:b/>
                <w:sz w:val="20"/>
                <w:szCs w:val="20"/>
              </w:rPr>
            </w:pPr>
            <w:r>
              <w:rPr>
                <w:b/>
                <w:sz w:val="20"/>
                <w:szCs w:val="20"/>
              </w:rPr>
              <w:t>35</w:t>
            </w:r>
          </w:p>
        </w:tc>
        <w:tc>
          <w:tcPr>
            <w:tcW w:w="1149" w:type="dxa"/>
            <w:shd w:val="clear" w:color="auto" w:fill="auto"/>
          </w:tcPr>
          <w:p w:rsidR="00BE47D4" w:rsidRPr="00667046" w:rsidRDefault="00707540" w:rsidP="00667046">
            <w:pPr>
              <w:spacing w:after="0" w:line="240" w:lineRule="auto"/>
              <w:jc w:val="center"/>
              <w:rPr>
                <w:b/>
                <w:sz w:val="20"/>
                <w:szCs w:val="20"/>
              </w:rPr>
            </w:pPr>
            <w:r>
              <w:rPr>
                <w:b/>
                <w:sz w:val="20"/>
                <w:szCs w:val="20"/>
              </w:rPr>
              <w:t>151</w:t>
            </w:r>
          </w:p>
        </w:tc>
        <w:tc>
          <w:tcPr>
            <w:tcW w:w="1156" w:type="dxa"/>
            <w:shd w:val="clear" w:color="auto" w:fill="auto"/>
          </w:tcPr>
          <w:p w:rsidR="00BE47D4" w:rsidRPr="00667046" w:rsidRDefault="00707540" w:rsidP="00667046">
            <w:pPr>
              <w:spacing w:after="0" w:line="240" w:lineRule="auto"/>
              <w:jc w:val="center"/>
              <w:rPr>
                <w:b/>
                <w:sz w:val="20"/>
                <w:szCs w:val="20"/>
              </w:rPr>
            </w:pPr>
            <w:r>
              <w:rPr>
                <w:b/>
                <w:sz w:val="20"/>
                <w:szCs w:val="20"/>
              </w:rPr>
              <w:t>0.232</w:t>
            </w:r>
          </w:p>
        </w:tc>
        <w:tc>
          <w:tcPr>
            <w:tcW w:w="1153" w:type="dxa"/>
            <w:shd w:val="clear" w:color="auto" w:fill="auto"/>
          </w:tcPr>
          <w:p w:rsidR="00BE47D4" w:rsidRPr="00667046" w:rsidRDefault="00707540" w:rsidP="00667046">
            <w:pPr>
              <w:spacing w:after="0" w:line="240" w:lineRule="auto"/>
              <w:jc w:val="center"/>
              <w:rPr>
                <w:b/>
                <w:sz w:val="20"/>
                <w:szCs w:val="20"/>
              </w:rPr>
            </w:pPr>
            <w:r>
              <w:rPr>
                <w:b/>
                <w:sz w:val="20"/>
                <w:szCs w:val="20"/>
              </w:rPr>
              <w:t>2</w:t>
            </w:r>
          </w:p>
        </w:tc>
        <w:tc>
          <w:tcPr>
            <w:tcW w:w="1284" w:type="dxa"/>
            <w:shd w:val="clear" w:color="auto" w:fill="auto"/>
          </w:tcPr>
          <w:p w:rsidR="00BE47D4" w:rsidRPr="00667046" w:rsidRDefault="00707540" w:rsidP="00667046">
            <w:pPr>
              <w:spacing w:after="0" w:line="240" w:lineRule="auto"/>
              <w:jc w:val="center"/>
              <w:rPr>
                <w:b/>
                <w:sz w:val="20"/>
                <w:szCs w:val="20"/>
              </w:rPr>
            </w:pPr>
            <w:r>
              <w:rPr>
                <w:b/>
                <w:sz w:val="20"/>
                <w:szCs w:val="20"/>
              </w:rPr>
              <w:t>68.63%</w:t>
            </w:r>
          </w:p>
        </w:tc>
      </w:tr>
      <w:tr w:rsidR="00667046" w:rsidRPr="00183459">
        <w:tc>
          <w:tcPr>
            <w:tcW w:w="533" w:type="dxa"/>
            <w:shd w:val="clear" w:color="auto" w:fill="auto"/>
          </w:tcPr>
          <w:p w:rsidR="00BE47D4" w:rsidRPr="00183459" w:rsidRDefault="00BE47D4" w:rsidP="00183459">
            <w:pPr>
              <w:spacing w:after="0" w:line="240" w:lineRule="auto"/>
              <w:rPr>
                <w:b/>
              </w:rPr>
            </w:pPr>
            <w:r w:rsidRPr="00183459">
              <w:rPr>
                <w:b/>
              </w:rPr>
              <w:t>4.</w:t>
            </w:r>
          </w:p>
        </w:tc>
        <w:tc>
          <w:tcPr>
            <w:tcW w:w="2635" w:type="dxa"/>
            <w:shd w:val="clear" w:color="auto" w:fill="auto"/>
          </w:tcPr>
          <w:p w:rsidR="00BE47D4" w:rsidRPr="00667046" w:rsidRDefault="004128EF" w:rsidP="00183459">
            <w:pPr>
              <w:spacing w:after="0" w:line="240" w:lineRule="auto"/>
              <w:rPr>
                <w:b/>
                <w:sz w:val="20"/>
                <w:szCs w:val="20"/>
              </w:rPr>
            </w:pPr>
            <w:r>
              <w:rPr>
                <w:b/>
                <w:sz w:val="20"/>
                <w:szCs w:val="20"/>
              </w:rPr>
              <w:t>Ton Bakker</w:t>
            </w:r>
          </w:p>
        </w:tc>
        <w:tc>
          <w:tcPr>
            <w:tcW w:w="720" w:type="dxa"/>
            <w:shd w:val="clear" w:color="auto" w:fill="auto"/>
          </w:tcPr>
          <w:p w:rsidR="00BE47D4" w:rsidRPr="00667046" w:rsidRDefault="004128EF" w:rsidP="00667046">
            <w:pPr>
              <w:spacing w:after="0" w:line="240" w:lineRule="auto"/>
              <w:jc w:val="center"/>
              <w:rPr>
                <w:b/>
                <w:sz w:val="20"/>
                <w:szCs w:val="20"/>
              </w:rPr>
            </w:pPr>
            <w:r>
              <w:rPr>
                <w:b/>
                <w:sz w:val="20"/>
                <w:szCs w:val="20"/>
              </w:rPr>
              <w:t>51</w:t>
            </w:r>
          </w:p>
        </w:tc>
        <w:tc>
          <w:tcPr>
            <w:tcW w:w="656" w:type="dxa"/>
            <w:shd w:val="clear" w:color="auto" w:fill="auto"/>
          </w:tcPr>
          <w:p w:rsidR="00BE47D4" w:rsidRPr="00667046" w:rsidRDefault="00707540" w:rsidP="00667046">
            <w:pPr>
              <w:spacing w:after="0" w:line="240" w:lineRule="auto"/>
              <w:jc w:val="center"/>
              <w:rPr>
                <w:b/>
                <w:sz w:val="20"/>
                <w:szCs w:val="20"/>
              </w:rPr>
            </w:pPr>
            <w:r>
              <w:rPr>
                <w:b/>
                <w:sz w:val="20"/>
                <w:szCs w:val="20"/>
              </w:rPr>
              <w:t>43</w:t>
            </w:r>
          </w:p>
        </w:tc>
        <w:tc>
          <w:tcPr>
            <w:tcW w:w="1149" w:type="dxa"/>
            <w:shd w:val="clear" w:color="auto" w:fill="auto"/>
          </w:tcPr>
          <w:p w:rsidR="00BE47D4" w:rsidRPr="00667046" w:rsidRDefault="00707540" w:rsidP="00667046">
            <w:pPr>
              <w:spacing w:after="0" w:line="240" w:lineRule="auto"/>
              <w:jc w:val="center"/>
              <w:rPr>
                <w:b/>
                <w:sz w:val="20"/>
                <w:szCs w:val="20"/>
              </w:rPr>
            </w:pPr>
            <w:r>
              <w:rPr>
                <w:b/>
                <w:sz w:val="20"/>
                <w:szCs w:val="20"/>
              </w:rPr>
              <w:t>170</w:t>
            </w:r>
          </w:p>
        </w:tc>
        <w:tc>
          <w:tcPr>
            <w:tcW w:w="1156" w:type="dxa"/>
            <w:shd w:val="clear" w:color="auto" w:fill="auto"/>
          </w:tcPr>
          <w:p w:rsidR="00BE47D4" w:rsidRPr="00667046" w:rsidRDefault="00707540" w:rsidP="00667046">
            <w:pPr>
              <w:spacing w:after="0" w:line="240" w:lineRule="auto"/>
              <w:jc w:val="center"/>
              <w:rPr>
                <w:b/>
                <w:sz w:val="20"/>
                <w:szCs w:val="20"/>
              </w:rPr>
            </w:pPr>
            <w:r>
              <w:rPr>
                <w:b/>
                <w:sz w:val="20"/>
                <w:szCs w:val="20"/>
              </w:rPr>
              <w:t>0.253</w:t>
            </w:r>
          </w:p>
        </w:tc>
        <w:tc>
          <w:tcPr>
            <w:tcW w:w="1153" w:type="dxa"/>
            <w:shd w:val="clear" w:color="auto" w:fill="auto"/>
          </w:tcPr>
          <w:p w:rsidR="00BE47D4" w:rsidRPr="00667046" w:rsidRDefault="00707540" w:rsidP="00667046">
            <w:pPr>
              <w:spacing w:after="0" w:line="240" w:lineRule="auto"/>
              <w:jc w:val="center"/>
              <w:rPr>
                <w:b/>
                <w:sz w:val="20"/>
                <w:szCs w:val="20"/>
              </w:rPr>
            </w:pPr>
            <w:r>
              <w:rPr>
                <w:b/>
                <w:sz w:val="20"/>
                <w:szCs w:val="20"/>
              </w:rPr>
              <w:t>3</w:t>
            </w:r>
          </w:p>
        </w:tc>
        <w:tc>
          <w:tcPr>
            <w:tcW w:w="1284" w:type="dxa"/>
            <w:shd w:val="clear" w:color="auto" w:fill="auto"/>
          </w:tcPr>
          <w:p w:rsidR="00BE47D4" w:rsidRPr="00667046" w:rsidRDefault="00707540" w:rsidP="00667046">
            <w:pPr>
              <w:spacing w:after="0" w:line="240" w:lineRule="auto"/>
              <w:jc w:val="center"/>
              <w:rPr>
                <w:b/>
                <w:sz w:val="20"/>
                <w:szCs w:val="20"/>
              </w:rPr>
            </w:pPr>
            <w:r>
              <w:rPr>
                <w:b/>
                <w:sz w:val="20"/>
                <w:szCs w:val="20"/>
              </w:rPr>
              <w:t>84.31%</w:t>
            </w:r>
          </w:p>
        </w:tc>
      </w:tr>
    </w:tbl>
    <w:p w:rsidR="006C7488" w:rsidRDefault="006C7488" w:rsidP="006C7488"/>
    <w:p w:rsidR="00BE47D4" w:rsidRPr="00BE47D4" w:rsidRDefault="00BE47D4" w:rsidP="00BE47D4">
      <w:pPr>
        <w:pStyle w:val="Heading2"/>
        <w:rPr>
          <w:sz w:val="28"/>
          <w:szCs w:val="28"/>
        </w:rPr>
      </w:pPr>
      <w:r w:rsidRPr="00BE47D4">
        <w:rPr>
          <w:sz w:val="28"/>
          <w:szCs w:val="28"/>
        </w:rPr>
        <w:t xml:space="preserve">Finale verslag driebanden </w:t>
      </w:r>
      <w:r w:rsidR="00552DE0">
        <w:rPr>
          <w:sz w:val="28"/>
          <w:szCs w:val="28"/>
        </w:rPr>
        <w:t>groot</w:t>
      </w:r>
      <w:r w:rsidRPr="00BE47D4">
        <w:rPr>
          <w:sz w:val="28"/>
          <w:szCs w:val="28"/>
        </w:rPr>
        <w:t>.</w:t>
      </w:r>
    </w:p>
    <w:p w:rsidR="00BE47D4" w:rsidRDefault="009409B7" w:rsidP="006C7488">
      <w:pPr>
        <w:rPr>
          <w:b/>
        </w:rPr>
      </w:pPr>
      <w:r w:rsidRPr="00113DB1">
        <w:rPr>
          <w:b/>
        </w:rPr>
        <w:t>Ronde 1</w:t>
      </w:r>
    </w:p>
    <w:p w:rsidR="00AD6212" w:rsidRPr="00AD6212" w:rsidRDefault="00AD6212" w:rsidP="006C7488">
      <w:r w:rsidRPr="00AD6212">
        <w:t xml:space="preserve">Gezien het feit dat </w:t>
      </w:r>
      <w:r w:rsidR="00410284">
        <w:t xml:space="preserve">net zpals bij de finale op de kleine tafel </w:t>
      </w:r>
      <w:r w:rsidRPr="00AD6212">
        <w:t xml:space="preserve">alle 4 de spelers voor het eerst in hun carriere de finale van de Stokkersbokaal hebben bereikt kunnen we dus stellen dat er sowieso </w:t>
      </w:r>
      <w:r w:rsidR="00410284">
        <w:t xml:space="preserve">weer </w:t>
      </w:r>
      <w:r w:rsidRPr="00AD6212">
        <w:t xml:space="preserve">een nieuwe kampioen bijkomt dit jaar, wie dat </w:t>
      </w:r>
      <w:r w:rsidR="00665E2C">
        <w:t xml:space="preserve">gaat worden </w:t>
      </w:r>
      <w:r w:rsidRPr="00AD6212">
        <w:t>zal de komende partijen gaan blijken.</w:t>
      </w:r>
      <w:r>
        <w:br/>
        <w:t>Op tafel 1</w:t>
      </w:r>
      <w:r w:rsidR="00552DE0">
        <w:t xml:space="preserve"> </w:t>
      </w:r>
      <w:r>
        <w:t xml:space="preserve"> </w:t>
      </w:r>
      <w:r w:rsidR="00410284">
        <w:t>mochten Jurrien en Nico aantreden en op tafel 2 mochten Reinhard en Ton hun biljartvaardigheden ten toon spreiden.</w:t>
      </w:r>
      <w:r w:rsidR="00A21246">
        <w:t xml:space="preserve"> Nadat middels de acquitstoot was bepaald wie er mocht beginnen kon het spel beginnen.</w:t>
      </w:r>
      <w:r w:rsidR="006B17D0">
        <w:t xml:space="preserve"> Nico had de smaak al snel te pakken, terwijl Jurrien nog zoekende is getuige de tussenstand na 18 beurten met 11 om 3, op de andere tafel staat het na 20 beurten 7 om 7, een duidelijk voordeel vor Ton dus op dat moment. Nu even afwachten hoe het zich verder ontwikkelt. </w:t>
      </w:r>
      <w:r w:rsidR="00743101">
        <w:t>Nico bleef het beste van het spel houden en zegevierde na 46 beurten met 25 om 9.</w:t>
      </w:r>
      <w:r w:rsidR="00550F2D">
        <w:t xml:space="preserve"> </w:t>
      </w:r>
      <w:r w:rsidR="00550F2D">
        <w:lastRenderedPageBreak/>
        <w:t>Reinhard trok op de andere tafel toch nog aan het langste eind en wist nipt te zegevieren na 48 met 35 om 16.</w:t>
      </w:r>
      <w:r w:rsidR="00410284">
        <w:t xml:space="preserve"> </w:t>
      </w:r>
    </w:p>
    <w:p w:rsidR="00707540" w:rsidRDefault="001A2E6C" w:rsidP="00552DE0">
      <w:r w:rsidRPr="00113DB1">
        <w:rPr>
          <w:b/>
        </w:rPr>
        <w:t>Ronde 2</w:t>
      </w:r>
      <w:r w:rsidR="001826F6" w:rsidRPr="001826F6">
        <w:br/>
        <w:t>De winnaars dienden nu van tafel te wisselen terwijl de verliezers mochten blijven staan</w:t>
      </w:r>
      <w:r w:rsidR="001826F6">
        <w:t>.</w:t>
      </w:r>
      <w:r w:rsidR="00550F2D">
        <w:t xml:space="preserve"> Jurrien en Ton stonden nu voor de taak om e.e.a. recht te zetten na ronde 1 tegen respectievelijk Reinhard en Nico, zou ze dat lukken? Over een tijdje zullen wij het weten……</w:t>
      </w:r>
      <w:r w:rsidR="00550F2D">
        <w:br/>
      </w:r>
      <w:r w:rsidR="00875F81">
        <w:t>Na 10 beurten leek het er niet op dat Ton en Jurrien enige kans maakten getuige de tussenstanden van 10 om 3 en 13 om 1 in het voordeel van respectievelijk Nico en Reinhard.</w:t>
      </w:r>
      <w:r w:rsidR="00F87D21">
        <w:t xml:space="preserve"> Reinhard maakte er korte metten mee en won met 35 om 9 in 37 beurten.</w:t>
      </w:r>
      <w:r w:rsidR="0043292F">
        <w:t xml:space="preserve"> Op de andere in de 44</w:t>
      </w:r>
      <w:r w:rsidR="0043292F" w:rsidRPr="0043292F">
        <w:rPr>
          <w:vertAlign w:val="superscript"/>
        </w:rPr>
        <w:t>ste</w:t>
      </w:r>
      <w:r w:rsidR="0043292F">
        <w:t xml:space="preserve"> beurt moesten beide matadoren er nog 3, uiteindelijk wist </w:t>
      </w:r>
      <w:r w:rsidR="00E2587C">
        <w:t>Nico de partij naar zich toe te trekken met 25 om 15 in 54.</w:t>
      </w:r>
      <w:r w:rsidR="002D67BA">
        <w:br/>
      </w:r>
      <w:r w:rsidR="00CF4292">
        <w:rPr>
          <w:b/>
        </w:rPr>
        <w:br/>
      </w:r>
      <w:r w:rsidR="007E04A1" w:rsidRPr="00113DB1">
        <w:rPr>
          <w:b/>
        </w:rPr>
        <w:t xml:space="preserve">Ronde </w:t>
      </w:r>
      <w:r w:rsidR="007E04A1">
        <w:rPr>
          <w:b/>
        </w:rPr>
        <w:t>3</w:t>
      </w:r>
      <w:r w:rsidR="00A70A88">
        <w:rPr>
          <w:b/>
        </w:rPr>
        <w:br/>
      </w:r>
      <w:r w:rsidR="00E2587C" w:rsidRPr="00E2587C">
        <w:t>Aangezien</w:t>
      </w:r>
      <w:r w:rsidR="00E2587C">
        <w:t xml:space="preserve"> Nico en Reinhard beide alles gewonnen hebben, krijgen we dus een echte finale partij. Ton en Jurrien begonnen derhalve 15 minuten eerder aan hun laatste partij om uit te maken wie er geen laatste zou worden.</w:t>
      </w:r>
      <w:r w:rsidR="0035289A">
        <w:br/>
        <w:t>Reinhard ging tegen Nico als een speer van start en stond mede dankzij een serie van 7 na 8 beurten met 14 om 1 voor. Inmiddels was de andere partij al gevorderd tot beurt 31 en stond Jurrien met 12 om 4 voor.</w:t>
      </w:r>
      <w:r w:rsidR="00707540">
        <w:t xml:space="preserve"> Reinhard bleef doorgaan op de manier zoals hij begon en maakte de partij na 35 beurten uit, goed voor een gemiddelde van 1. Op de andere tafel kostte het de nodige moeite om er af te gaan, maar na 68 beurten was het zo ver en wist Jurrien te winnen.</w:t>
      </w:r>
    </w:p>
    <w:p w:rsidR="00B75A7F" w:rsidRPr="00A70A88" w:rsidRDefault="00707540" w:rsidP="00552DE0">
      <w:r>
        <w:t>Reinhard van harte gefeliciteerd namens de toernooicommissie met deze weergaloze overwinning, met 3 zeges een eindmoyenne van 0,875 en een hoogste serie van 7 ben je de terechte winnaar.</w:t>
      </w:r>
      <w:r w:rsidR="00A70A88">
        <w:rPr>
          <w:b/>
        </w:rPr>
        <w:br/>
      </w:r>
    </w:p>
    <w:sectPr w:rsidR="00B75A7F" w:rsidRPr="00A70A88" w:rsidSect="00113DB1">
      <w:pgSz w:w="11906" w:h="16838"/>
      <w:pgMar w:top="851" w:right="1418"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0042D4"/>
    <w:rsid w:val="000042D4"/>
    <w:rsid w:val="00007CC4"/>
    <w:rsid w:val="00015898"/>
    <w:rsid w:val="00016C68"/>
    <w:rsid w:val="00026DDF"/>
    <w:rsid w:val="00045A4E"/>
    <w:rsid w:val="00051145"/>
    <w:rsid w:val="0005391B"/>
    <w:rsid w:val="000A5ACA"/>
    <w:rsid w:val="000D22CB"/>
    <w:rsid w:val="00113DB1"/>
    <w:rsid w:val="00121381"/>
    <w:rsid w:val="001373FB"/>
    <w:rsid w:val="001826F6"/>
    <w:rsid w:val="00183459"/>
    <w:rsid w:val="001A040D"/>
    <w:rsid w:val="001A2E6C"/>
    <w:rsid w:val="001C3413"/>
    <w:rsid w:val="001C34BE"/>
    <w:rsid w:val="001D526D"/>
    <w:rsid w:val="002A34AB"/>
    <w:rsid w:val="002A6C3A"/>
    <w:rsid w:val="002B0555"/>
    <w:rsid w:val="002B116E"/>
    <w:rsid w:val="002B767E"/>
    <w:rsid w:val="002D67BA"/>
    <w:rsid w:val="0035289A"/>
    <w:rsid w:val="003540F2"/>
    <w:rsid w:val="003813BD"/>
    <w:rsid w:val="003B55BE"/>
    <w:rsid w:val="003F75FE"/>
    <w:rsid w:val="00410284"/>
    <w:rsid w:val="004128EF"/>
    <w:rsid w:val="0043292F"/>
    <w:rsid w:val="00501283"/>
    <w:rsid w:val="00501906"/>
    <w:rsid w:val="005330F7"/>
    <w:rsid w:val="00550F2D"/>
    <w:rsid w:val="00552DE0"/>
    <w:rsid w:val="005A12F6"/>
    <w:rsid w:val="005D0085"/>
    <w:rsid w:val="005E09A7"/>
    <w:rsid w:val="0060204D"/>
    <w:rsid w:val="00617821"/>
    <w:rsid w:val="00621C15"/>
    <w:rsid w:val="00630BF0"/>
    <w:rsid w:val="0063258A"/>
    <w:rsid w:val="00662A7D"/>
    <w:rsid w:val="00665E2C"/>
    <w:rsid w:val="00667046"/>
    <w:rsid w:val="006A7FD2"/>
    <w:rsid w:val="006B17D0"/>
    <w:rsid w:val="006C7488"/>
    <w:rsid w:val="00707540"/>
    <w:rsid w:val="00743101"/>
    <w:rsid w:val="007B00C5"/>
    <w:rsid w:val="007E04A1"/>
    <w:rsid w:val="007E29CB"/>
    <w:rsid w:val="007F6396"/>
    <w:rsid w:val="00875F81"/>
    <w:rsid w:val="008A0147"/>
    <w:rsid w:val="008E4E87"/>
    <w:rsid w:val="00917E14"/>
    <w:rsid w:val="009409B7"/>
    <w:rsid w:val="00951DDB"/>
    <w:rsid w:val="0095207A"/>
    <w:rsid w:val="00991042"/>
    <w:rsid w:val="009A2E25"/>
    <w:rsid w:val="009A5E50"/>
    <w:rsid w:val="009A64EA"/>
    <w:rsid w:val="00A21246"/>
    <w:rsid w:val="00A51BE3"/>
    <w:rsid w:val="00A70A88"/>
    <w:rsid w:val="00A77006"/>
    <w:rsid w:val="00AC714A"/>
    <w:rsid w:val="00AD6212"/>
    <w:rsid w:val="00B04A0A"/>
    <w:rsid w:val="00B100D5"/>
    <w:rsid w:val="00B6442F"/>
    <w:rsid w:val="00B75A7F"/>
    <w:rsid w:val="00BE0B23"/>
    <w:rsid w:val="00BE195B"/>
    <w:rsid w:val="00BE47D4"/>
    <w:rsid w:val="00C1278E"/>
    <w:rsid w:val="00C164B8"/>
    <w:rsid w:val="00C41721"/>
    <w:rsid w:val="00C61D33"/>
    <w:rsid w:val="00CB3112"/>
    <w:rsid w:val="00CF4292"/>
    <w:rsid w:val="00D33D22"/>
    <w:rsid w:val="00D63C56"/>
    <w:rsid w:val="00D80331"/>
    <w:rsid w:val="00D86FCA"/>
    <w:rsid w:val="00E026CF"/>
    <w:rsid w:val="00E03EF5"/>
    <w:rsid w:val="00E2587C"/>
    <w:rsid w:val="00EE6897"/>
    <w:rsid w:val="00EF59F0"/>
    <w:rsid w:val="00F158FA"/>
    <w:rsid w:val="00F430EE"/>
    <w:rsid w:val="00F5288C"/>
    <w:rsid w:val="00F87D2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C4"/>
    <w:pPr>
      <w:spacing w:after="200" w:line="276" w:lineRule="auto"/>
    </w:pPr>
    <w:rPr>
      <w:sz w:val="22"/>
      <w:szCs w:val="22"/>
      <w:lang w:eastAsia="en-US"/>
    </w:rPr>
  </w:style>
  <w:style w:type="paragraph" w:styleId="Heading1">
    <w:name w:val="heading 1"/>
    <w:basedOn w:val="Normal"/>
    <w:next w:val="Normal"/>
    <w:link w:val="Heading1Char"/>
    <w:uiPriority w:val="9"/>
    <w:qFormat/>
    <w:rsid w:val="000042D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0042D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042D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042D4"/>
    <w:rPr>
      <w:rFonts w:ascii="Cambria" w:eastAsia="Times New Roman" w:hAnsi="Cambria" w:cs="Times New Roman"/>
      <w:b/>
      <w:bCs/>
      <w:color w:val="4F81BD"/>
      <w:sz w:val="26"/>
      <w:szCs w:val="26"/>
    </w:rPr>
  </w:style>
  <w:style w:type="table" w:styleId="TableGrid">
    <w:name w:val="Table Grid"/>
    <w:basedOn w:val="TableNormal"/>
    <w:uiPriority w:val="59"/>
    <w:rsid w:val="006C7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E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3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588</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Apollo Vredestein BV</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Panders</cp:lastModifiedBy>
  <cp:revision>15</cp:revision>
  <cp:lastPrinted>2019-07-13T15:02:00Z</cp:lastPrinted>
  <dcterms:created xsi:type="dcterms:W3CDTF">2019-07-13T10:25:00Z</dcterms:created>
  <dcterms:modified xsi:type="dcterms:W3CDTF">2019-07-13T15:07:00Z</dcterms:modified>
</cp:coreProperties>
</file>